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Оценка радиационной обстановки на территории страны в 2010 году осуществлялась по данным н</w:t>
      </w:r>
      <w:bookmarkStart w:id="0" w:name="_GoBack"/>
      <w:bookmarkEnd w:id="0"/>
      <w:r w:rsidRPr="000D21DA">
        <w:rPr>
          <w:rFonts w:ascii="Tahoma" w:eastAsia="Times New Roman" w:hAnsi="Tahoma" w:cs="Tahoma"/>
          <w:lang w:eastAsia="ru-RU"/>
        </w:rPr>
        <w:t>аблюдений государственной сети Росгидромета за мощностью экспозиционной дозы гамма-излучения на местности (МЭД), отбора и последующего лабораторного анализа проб почвы, аэрозолей из приземной атмосферы, атмосферных выпадений, поверхностных вод суши и морей, а также по данным, которые поступают в Росгидромет от отраслевых автоматизированных систем, контролирующих радиационную обстановку в зонах расположения крупных радиационно-опасных объектов.</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Основными источниками поступления в атмосферу радионуклидов антропогенного происхождения, как и в предыдущие годы, является ветровой подъем радиоактивных веществ с поверхности почв, загрязненных ранее в результате испытаний ядерного оружия в атмосфере, а в отдельных регионах европейской территории России (ЕТР) и Западной Сибири – в результате аварий на Чернобыльской АЭС и ПО «Маяк».</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Средневзвешенная </w:t>
      </w:r>
      <w:r w:rsidRPr="000D21DA">
        <w:rPr>
          <w:rFonts w:ascii="Tahoma" w:eastAsia="Times New Roman" w:hAnsi="Tahoma" w:cs="Tahoma"/>
          <w:b/>
          <w:bCs/>
          <w:lang w:eastAsia="ru-RU"/>
        </w:rPr>
        <w:t>концентрация суммарной бета-активности аэрозолей в приземной атмосфере по территории России </w:t>
      </w:r>
      <w:r w:rsidRPr="000D21DA">
        <w:rPr>
          <w:rFonts w:ascii="Tahoma" w:eastAsia="Times New Roman" w:hAnsi="Tahoma" w:cs="Tahoma"/>
          <w:lang w:eastAsia="ru-RU"/>
        </w:rPr>
        <w:t>в 2010 г. (за пределами территорий, загрязненных в результате аварии на Чернобыльской АЭС) составила 15,3·10</w:t>
      </w:r>
      <w:r w:rsidRPr="000D21DA">
        <w:rPr>
          <w:rFonts w:ascii="Tahoma" w:eastAsia="Times New Roman" w:hAnsi="Tahoma" w:cs="Tahoma"/>
          <w:vertAlign w:val="superscript"/>
          <w:lang w:eastAsia="ru-RU"/>
        </w:rPr>
        <w:t>-5</w:t>
      </w:r>
      <w:r w:rsidRPr="000D21DA">
        <w:rPr>
          <w:rFonts w:ascii="Tahoma" w:eastAsia="Times New Roman" w:hAnsi="Tahoma" w:cs="Tahoma"/>
          <w:lang w:eastAsia="ru-RU"/>
        </w:rPr>
        <w:t> Бк/м</w:t>
      </w:r>
      <w:r w:rsidRPr="000D21DA">
        <w:rPr>
          <w:rFonts w:ascii="Tahoma" w:eastAsia="Times New Roman" w:hAnsi="Tahoma" w:cs="Tahoma"/>
          <w:vertAlign w:val="superscript"/>
          <w:lang w:eastAsia="ru-RU"/>
        </w:rPr>
        <w:t>3</w:t>
      </w:r>
      <w:r w:rsidRPr="000D21DA">
        <w:rPr>
          <w:rFonts w:ascii="Tahoma" w:eastAsia="Times New Roman" w:hAnsi="Tahoma" w:cs="Tahoma"/>
          <w:lang w:eastAsia="ru-RU"/>
        </w:rPr>
        <w:t>, </w:t>
      </w:r>
      <w:r w:rsidRPr="000D21DA">
        <w:rPr>
          <w:rFonts w:ascii="Tahoma" w:eastAsia="Times New Roman" w:hAnsi="Tahoma" w:cs="Tahoma"/>
          <w:b/>
          <w:bCs/>
          <w:lang w:eastAsia="ru-RU"/>
        </w:rPr>
        <w:t>что несколько ниже уровня 2009 г.</w:t>
      </w:r>
      <w:r w:rsidRPr="000D21DA">
        <w:rPr>
          <w:rFonts w:ascii="Tahoma" w:eastAsia="Times New Roman" w:hAnsi="Tahoma" w:cs="Tahoma"/>
          <w:lang w:eastAsia="ru-RU"/>
        </w:rPr>
        <w:t> – 18,5 ·10</w:t>
      </w:r>
      <w:r w:rsidRPr="000D21DA">
        <w:rPr>
          <w:rFonts w:ascii="Tahoma" w:eastAsia="Times New Roman" w:hAnsi="Tahoma" w:cs="Tahoma"/>
          <w:vertAlign w:val="superscript"/>
          <w:lang w:eastAsia="ru-RU"/>
        </w:rPr>
        <w:t>-5</w:t>
      </w:r>
      <w:r w:rsidRPr="000D21DA">
        <w:rPr>
          <w:rFonts w:ascii="Tahoma" w:eastAsia="Times New Roman" w:hAnsi="Tahoma" w:cs="Tahoma"/>
          <w:lang w:eastAsia="ru-RU"/>
        </w:rPr>
        <w:t> Бк/м</w:t>
      </w:r>
      <w:r w:rsidRPr="000D21DA">
        <w:rPr>
          <w:rFonts w:ascii="Tahoma" w:eastAsia="Times New Roman" w:hAnsi="Tahoma" w:cs="Tahoma"/>
          <w:vertAlign w:val="superscript"/>
          <w:lang w:eastAsia="ru-RU"/>
        </w:rPr>
        <w:t>3</w:t>
      </w:r>
      <w:r w:rsidRPr="000D21DA">
        <w:rPr>
          <w:rFonts w:ascii="Tahoma" w:eastAsia="Times New Roman" w:hAnsi="Tahoma" w:cs="Tahoma"/>
          <w:lang w:eastAsia="ru-RU"/>
        </w:rPr>
        <w:t>.</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Значения концентраций радионуклидов цезия-137, стронция-90, плутония-239 и плутония-240 в приземном слое воздуха, а также трития в атмосферных осадках </w:t>
      </w:r>
      <w:r w:rsidRPr="000D21DA">
        <w:rPr>
          <w:rFonts w:ascii="Tahoma" w:eastAsia="Times New Roman" w:hAnsi="Tahoma" w:cs="Tahoma"/>
          <w:b/>
          <w:bCs/>
          <w:lang w:eastAsia="ru-RU"/>
        </w:rPr>
        <w:t>были на 4-6 порядков ниже допустимой среднегодовой объемной активности для населения</w:t>
      </w:r>
      <w:r w:rsidRPr="000D21DA">
        <w:rPr>
          <w:rFonts w:ascii="Tahoma" w:eastAsia="Times New Roman" w:hAnsi="Tahoma" w:cs="Tahoma"/>
          <w:lang w:eastAsia="ru-RU"/>
        </w:rPr>
        <w:t> </w:t>
      </w:r>
      <w:r w:rsidRPr="000D21DA">
        <w:rPr>
          <w:rFonts w:ascii="Tahoma" w:eastAsia="Times New Roman" w:hAnsi="Tahoma" w:cs="Tahoma"/>
          <w:b/>
          <w:bCs/>
          <w:lang w:eastAsia="ru-RU"/>
        </w:rPr>
        <w:t>в соответствии с нормами радиационной безопасности НРБ-99/2009.</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Интенсивность атмосферных выпадения цезия-137 в среднем по стране за 2010г. практически не изменилась по сравнению с прошлым годом и составила 0,13 Бк/м</w:t>
      </w:r>
      <w:r w:rsidRPr="000D21DA">
        <w:rPr>
          <w:rFonts w:ascii="Tahoma" w:eastAsia="Times New Roman" w:hAnsi="Tahoma" w:cs="Tahoma"/>
          <w:vertAlign w:val="superscript"/>
          <w:lang w:eastAsia="ru-RU"/>
        </w:rPr>
        <w:t>2</w:t>
      </w:r>
      <w:r w:rsidRPr="000D21DA">
        <w:rPr>
          <w:rFonts w:ascii="Tahoma" w:eastAsia="Times New Roman" w:hAnsi="Tahoma" w:cs="Tahoma"/>
          <w:lang w:eastAsia="ru-RU"/>
        </w:rPr>
        <w:t> (в 2009 г. 0,11 Бк/м</w:t>
      </w:r>
      <w:r w:rsidRPr="000D21DA">
        <w:rPr>
          <w:rFonts w:ascii="Tahoma" w:eastAsia="Times New Roman" w:hAnsi="Tahoma" w:cs="Tahoma"/>
          <w:vertAlign w:val="superscript"/>
          <w:lang w:eastAsia="ru-RU"/>
        </w:rPr>
        <w:t>2</w:t>
      </w:r>
      <w:r w:rsidRPr="000D21DA">
        <w:rPr>
          <w:rFonts w:ascii="Tahoma" w:eastAsia="Times New Roman" w:hAnsi="Tahoma" w:cs="Tahoma"/>
          <w:lang w:eastAsia="ru-RU"/>
        </w:rPr>
        <w:t>). Выпадения стронция-90 из атмосферы за пределами загрязненных зон </w:t>
      </w:r>
      <w:r w:rsidRPr="000D21DA">
        <w:rPr>
          <w:rFonts w:ascii="Tahoma" w:eastAsia="Times New Roman" w:hAnsi="Tahoma" w:cs="Tahoma"/>
          <w:b/>
          <w:bCs/>
          <w:lang w:eastAsia="ru-RU"/>
        </w:rPr>
        <w:t>были ниже предела обнаружения, как и в предыдущем году.</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В июле-августе 2010 г. в центральном регионе ЕТР сложились неблагоприятные погодные условия, которые определялись высотным теплым блокирующим антициклоном (отсутствие осадков около двух месяцев, максимальные, перекрывающие все рекорды, температуры воздуха, наличие мощных приземных инверсий, достигающих нескольких сот метров). Сочетание всех условий привело к множественным лесным и торфяным пожарам в центральном регионе ЕТР и задымлению больших территорий продуктами лесных пожаров. Только в Московской области возникло более 2,3 тыс. природных пожаров, из них 924 торфяных. В связи с этим Росгидрометом проводился учащенный регулярный мониторинг радиационной обстановки.</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Анализ всех поступивших в июле-августе данных о радиационном фоне показал, что в центральном регионе ЕТР мощность экспозиционной дозы гамма-излучения (МЭД) на местности не превышала фоновых уровней. В 100-километровой зоне вокруг радиационно-опасных объектов за весь период возникновения лесных и торфяных пожаров на территории РФ </w:t>
      </w:r>
      <w:r w:rsidRPr="000D21DA">
        <w:rPr>
          <w:rFonts w:ascii="Tahoma" w:eastAsia="Times New Roman" w:hAnsi="Tahoma" w:cs="Tahoma"/>
          <w:b/>
          <w:bCs/>
          <w:lang w:eastAsia="ru-RU"/>
        </w:rPr>
        <w:t>летом 2010 г. не зафиксировано превышения радиационного фона.</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К настоящему времени в лесистой местности основная масса цезия-137 находится в лесной подстилке (опаде) и торфяниках, горящих при всех лесных пожарах, особенно низовых. Поэтому лесные и торфяные пожары в центральном регионе ЕТР привели к повышению содержания цезия-137 в воздухе населенных пунктов, задымленных продуктами горения.      </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В исследованных суточных пробах аэрозолей в г. Обнинск (Калужская обл.) и п. Подмосковная (Московская обл.) было зафиксировано повышенное относительно фонового уровня содержание цезия-137 в воздухе, причем максимумы содержания в воздухе цезия-137 совпадали с максимумами концентрации дымовых частиц. В августе максимальная среднесуточная объемная активность (ОА) цезия-137 в г. Обнинске и п. Подмосковнаясоставила180∙10</w:t>
      </w:r>
      <w:r w:rsidRPr="000D21DA">
        <w:rPr>
          <w:rFonts w:ascii="Tahoma" w:eastAsia="Times New Roman" w:hAnsi="Tahoma" w:cs="Tahoma"/>
          <w:vertAlign w:val="superscript"/>
          <w:lang w:eastAsia="ru-RU"/>
        </w:rPr>
        <w:t>-7</w:t>
      </w:r>
      <w:r w:rsidRPr="000D21DA">
        <w:rPr>
          <w:rFonts w:ascii="Tahoma" w:eastAsia="Times New Roman" w:hAnsi="Tahoma" w:cs="Tahoma"/>
          <w:lang w:eastAsia="ru-RU"/>
        </w:rPr>
        <w:t> Бк/м</w:t>
      </w:r>
      <w:r w:rsidRPr="000D21DA">
        <w:rPr>
          <w:rFonts w:ascii="Tahoma" w:eastAsia="Times New Roman" w:hAnsi="Tahoma" w:cs="Tahoma"/>
          <w:vertAlign w:val="superscript"/>
          <w:lang w:eastAsia="ru-RU"/>
        </w:rPr>
        <w:t>3 </w:t>
      </w:r>
      <w:r w:rsidRPr="000D21DA">
        <w:rPr>
          <w:rFonts w:ascii="Tahoma" w:eastAsia="Times New Roman" w:hAnsi="Tahoma" w:cs="Tahoma"/>
          <w:lang w:eastAsia="ru-RU"/>
        </w:rPr>
        <w:t>и 130∙10</w:t>
      </w:r>
      <w:r w:rsidRPr="000D21DA">
        <w:rPr>
          <w:rFonts w:ascii="Tahoma" w:eastAsia="Times New Roman" w:hAnsi="Tahoma" w:cs="Tahoma"/>
          <w:vertAlign w:val="superscript"/>
          <w:lang w:eastAsia="ru-RU"/>
        </w:rPr>
        <w:t>-7</w:t>
      </w:r>
      <w:r w:rsidRPr="000D21DA">
        <w:rPr>
          <w:rFonts w:ascii="Tahoma" w:eastAsia="Times New Roman" w:hAnsi="Tahoma" w:cs="Tahoma"/>
          <w:lang w:eastAsia="ru-RU"/>
        </w:rPr>
        <w:t> Бк/м</w:t>
      </w:r>
      <w:r w:rsidRPr="000D21DA">
        <w:rPr>
          <w:rFonts w:ascii="Tahoma" w:eastAsia="Times New Roman" w:hAnsi="Tahoma" w:cs="Tahoma"/>
          <w:vertAlign w:val="superscript"/>
          <w:lang w:eastAsia="ru-RU"/>
        </w:rPr>
        <w:t>3</w:t>
      </w:r>
      <w:r w:rsidRPr="000D21DA">
        <w:rPr>
          <w:rFonts w:ascii="Tahoma" w:eastAsia="Times New Roman" w:hAnsi="Tahoma" w:cs="Tahoma"/>
          <w:lang w:eastAsia="ru-RU"/>
        </w:rPr>
        <w:t> соответственно, что в 32 и 24 раза выше среднемесячной величины, зарегистрированной в августе 2009 г. </w:t>
      </w:r>
      <w:r w:rsidRPr="000D21DA">
        <w:rPr>
          <w:rFonts w:ascii="Tahoma" w:eastAsia="Times New Roman" w:hAnsi="Tahoma" w:cs="Tahoma"/>
          <w:b/>
          <w:bCs/>
          <w:lang w:eastAsia="ru-RU"/>
        </w:rPr>
        <w:t>Однако увеличение среднемесячных и среднесуточных ОА цезия-137 были на пять – шесть порядков ниже нормативов, установленных в НРБ-99/2009.</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lastRenderedPageBreak/>
        <w:t>В 2010 г. в г. Обнинске (Калужская область) продолжали наблюдаться случаи регистрации в пробах аэрозолей короткоживущего йода-131, но концентрации его были, как и ранее, примерно на 4 порядка ниже допустимых (в 2010 г. – 33 случая, в 2007 - 2009 гг. – от 21 до 36 случаев). В г. Курчатове (Курская область) один случай регистрации йода-131 (в 2009 г. – не наблюдалось, в 2004 - 2008 г. от 2 до 5 случаев).</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В атмосфере городов Курска, Курчатова и Нововоронежа отмечалось также появление и других короткоживущих продуктов деления и нейтронной активации. В г. Нововоронеже наблюдались марганец-54, кобальт-58, кобальт-60, ниобий-95, цирконий-95, цезий-134, железо-59. В городах Курчатове и Курске – марганец-54, кобальт-58, кобальт-60, железо-59, ниобий-95, цирконий-95, молибден-99 с технецием-99m. </w:t>
      </w:r>
      <w:r w:rsidRPr="000D21DA">
        <w:rPr>
          <w:rFonts w:ascii="Tahoma" w:eastAsia="Times New Roman" w:hAnsi="Tahoma" w:cs="Tahoma"/>
          <w:b/>
          <w:bCs/>
          <w:lang w:eastAsia="ru-RU"/>
        </w:rPr>
        <w:t>Объемная активность указанных радионуклидов в атмосферном воздухе была на 6 – 7 порядков ниже допустимой объемной активности по НРБ-99/2009</w:t>
      </w:r>
      <w:r w:rsidRPr="000D21DA">
        <w:rPr>
          <w:rFonts w:ascii="Tahoma" w:eastAsia="Times New Roman" w:hAnsi="Tahoma" w:cs="Tahoma"/>
          <w:lang w:eastAsia="ru-RU"/>
        </w:rPr>
        <w:t>. Появление этих радионуклидов, включая йод-131, в атмосфере указанных городов связано с деятельностью расположенных вблизи радиационно-опасных объектов – Курской, Нововоронежской АЭС и Физико-энергетического института (г. Обнинск).</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На поверхности почвы атмосферные выпадения радионуклидов в 2010 г. </w:t>
      </w:r>
      <w:r w:rsidRPr="000D21DA">
        <w:rPr>
          <w:rFonts w:ascii="Tahoma" w:eastAsia="Times New Roman" w:hAnsi="Tahoma" w:cs="Tahoma"/>
          <w:b/>
          <w:bCs/>
          <w:lang w:eastAsia="ru-RU"/>
        </w:rPr>
        <w:t>повсюду были незначительными</w:t>
      </w:r>
      <w:r w:rsidRPr="000D21DA">
        <w:rPr>
          <w:rFonts w:ascii="Tahoma" w:eastAsia="Times New Roman" w:hAnsi="Tahoma" w:cs="Tahoma"/>
          <w:lang w:eastAsia="ru-RU"/>
        </w:rPr>
        <w:t> по сравнению с их суммарным запасом в почве, и это практически не сказалось на уровнях загрязнения, сложившихся ранее. Географическое распределение радиоактивного загрязнения почвы по территории страны в 2010 г. по сравнению с предыдущими годами </w:t>
      </w:r>
      <w:r w:rsidRPr="000D21DA">
        <w:rPr>
          <w:rFonts w:ascii="Tahoma" w:eastAsia="Times New Roman" w:hAnsi="Tahoma" w:cs="Tahoma"/>
          <w:b/>
          <w:bCs/>
          <w:lang w:eastAsia="ru-RU"/>
        </w:rPr>
        <w:t>не изменилось.</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В водах рек России концентрации радионуклидов в последние годы сохраняются примерно на одном уровне.</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В 2010 г. средняя концентрация стронция-90 в воде составила 4,1 мБк/л (в 2009 г. - 4,3 мБк/л и в 2007 г. – 4,7 мБк/л). </w:t>
      </w:r>
      <w:r w:rsidRPr="000D21DA">
        <w:rPr>
          <w:rFonts w:ascii="Tahoma" w:eastAsia="Times New Roman" w:hAnsi="Tahoma" w:cs="Tahoma"/>
          <w:b/>
          <w:bCs/>
          <w:lang w:eastAsia="ru-RU"/>
        </w:rPr>
        <w:t>Эти значения на 3 порядка ниже уровня вмешательства для питьевой воды</w:t>
      </w:r>
      <w:r w:rsidRPr="000D21DA">
        <w:rPr>
          <w:rFonts w:ascii="Tahoma" w:eastAsia="Times New Roman" w:hAnsi="Tahoma" w:cs="Tahoma"/>
          <w:lang w:eastAsia="ru-RU"/>
        </w:rPr>
        <w:t> (УВ</w:t>
      </w:r>
      <w:r w:rsidRPr="000D21DA">
        <w:rPr>
          <w:rFonts w:ascii="Tahoma" w:eastAsia="Times New Roman" w:hAnsi="Tahoma" w:cs="Tahoma"/>
          <w:vertAlign w:val="subscript"/>
          <w:lang w:eastAsia="ru-RU"/>
        </w:rPr>
        <w:t>НАС</w:t>
      </w:r>
      <w:r w:rsidRPr="000D21DA">
        <w:rPr>
          <w:rFonts w:ascii="Tahoma" w:eastAsia="Times New Roman" w:hAnsi="Tahoma" w:cs="Tahoma"/>
          <w:lang w:eastAsia="ru-RU"/>
        </w:rPr>
        <w:t> = 4,9 Бк/л по НРБ-99/2009).</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Средняя объемная активность трития в воде основных рек России по данным за 2010 г. колебалась в пределах от 0,9 до 3,8 Бк/л, </w:t>
      </w:r>
      <w:r w:rsidRPr="000D21DA">
        <w:rPr>
          <w:rFonts w:ascii="Tahoma" w:eastAsia="Times New Roman" w:hAnsi="Tahoma" w:cs="Tahoma"/>
          <w:b/>
          <w:bCs/>
          <w:lang w:eastAsia="ru-RU"/>
        </w:rPr>
        <w:t>что соответствует уровню предыдущих лети на 3 порядка ниже УВ</w:t>
      </w:r>
      <w:r w:rsidRPr="000D21DA">
        <w:rPr>
          <w:rFonts w:ascii="Tahoma" w:eastAsia="Times New Roman" w:hAnsi="Tahoma" w:cs="Tahoma"/>
          <w:b/>
          <w:bCs/>
          <w:vertAlign w:val="subscript"/>
          <w:lang w:eastAsia="ru-RU"/>
        </w:rPr>
        <w:t>НАС</w:t>
      </w:r>
      <w:r w:rsidRPr="000D21DA">
        <w:rPr>
          <w:rFonts w:ascii="Tahoma" w:eastAsia="Times New Roman" w:hAnsi="Tahoma" w:cs="Tahoma"/>
          <w:b/>
          <w:bCs/>
          <w:lang w:eastAsia="ru-RU"/>
        </w:rPr>
        <w:t> = 7600 Бк/л </w:t>
      </w:r>
      <w:r w:rsidRPr="000D21DA">
        <w:rPr>
          <w:rFonts w:ascii="Tahoma" w:eastAsia="Times New Roman" w:hAnsi="Tahoma" w:cs="Tahoma"/>
          <w:lang w:eastAsia="ru-RU"/>
        </w:rPr>
        <w:t>по НРБ-99/2009</w:t>
      </w:r>
      <w:r w:rsidRPr="000D21DA">
        <w:rPr>
          <w:rFonts w:ascii="Tahoma" w:eastAsia="Times New Roman" w:hAnsi="Tahoma" w:cs="Tahoma"/>
          <w:b/>
          <w:bCs/>
          <w:lang w:eastAsia="ru-RU"/>
        </w:rPr>
        <w:t>.</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Уровни загрязнения морской воды стронцием-90 в морях, омывающих территорию России, в 2010 г. </w:t>
      </w:r>
      <w:r w:rsidRPr="000D21DA">
        <w:rPr>
          <w:rFonts w:ascii="Tahoma" w:eastAsia="Times New Roman" w:hAnsi="Tahoma" w:cs="Tahoma"/>
          <w:b/>
          <w:bCs/>
          <w:lang w:eastAsia="ru-RU"/>
        </w:rPr>
        <w:t>мало изменились по сравнению с предыдущими годами.</w:t>
      </w:r>
      <w:r w:rsidRPr="000D21DA">
        <w:rPr>
          <w:rFonts w:ascii="Tahoma" w:eastAsia="Times New Roman" w:hAnsi="Tahoma" w:cs="Tahoma"/>
          <w:lang w:eastAsia="ru-RU"/>
        </w:rPr>
        <w:t> Средние значения концентраций этого радионуклида в 2010 г. в поверхностных водах Баренцева, Белого, Охотского и Японского морей, а также в водах Тихого океана у берегов Камчатки изменялись в пределах от 1,27мБк/л (в Японском море, Авачинская губа) до 2,45 мБк/л (в Белом море).</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w:t>
      </w:r>
      <w:r w:rsidRPr="000D21DA">
        <w:rPr>
          <w:rFonts w:ascii="Tahoma" w:eastAsia="Times New Roman" w:hAnsi="Tahoma" w:cs="Tahoma"/>
          <w:b/>
          <w:bCs/>
          <w:lang w:eastAsia="ru-RU"/>
        </w:rPr>
        <w:t>Мощность экспозиционной дозы гамма-излучения на местности</w:t>
      </w:r>
      <w:r w:rsidRPr="000D21DA">
        <w:rPr>
          <w:rFonts w:ascii="Tahoma" w:eastAsia="Times New Roman" w:hAnsi="Tahoma" w:cs="Tahoma"/>
          <w:lang w:eastAsia="ru-RU"/>
        </w:rPr>
        <w:t>, в том числе в зонах расположения атомных электростанций и других радиационно-опасных объектов, за пределами зон загрязнения, обусловленных чернобыльской катастрофой и другими радиационными авариями, в целом, </w:t>
      </w:r>
      <w:r w:rsidRPr="000D21DA">
        <w:rPr>
          <w:rFonts w:ascii="Tahoma" w:eastAsia="Times New Roman" w:hAnsi="Tahoma" w:cs="Tahoma"/>
          <w:b/>
          <w:bCs/>
          <w:lang w:eastAsia="ru-RU"/>
        </w:rPr>
        <w:t>находилась в пределах естественного фона.</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w:t>
      </w:r>
    </w:p>
    <w:p w:rsidR="000D21DA" w:rsidRPr="000D21DA" w:rsidRDefault="000D21DA" w:rsidP="000D21DA">
      <w:pPr>
        <w:spacing w:after="0" w:line="240" w:lineRule="auto"/>
        <w:jc w:val="center"/>
        <w:rPr>
          <w:rFonts w:ascii="Tahoma" w:eastAsia="Times New Roman" w:hAnsi="Tahoma" w:cs="Tahoma"/>
          <w:lang w:eastAsia="ru-RU"/>
        </w:rPr>
      </w:pPr>
      <w:r w:rsidRPr="000D21DA">
        <w:rPr>
          <w:rFonts w:ascii="Tahoma" w:eastAsia="Times New Roman" w:hAnsi="Tahoma" w:cs="Tahoma"/>
          <w:b/>
          <w:bCs/>
          <w:lang w:eastAsia="ru-RU"/>
        </w:rPr>
        <w:t>Радиационная обстановка в зонах загрязнения, обусловленных авариями на ЧАЭС и ПО «Маяк»</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На загрязненных в результате Чернобыльской катастрофы территориях европейской части России атмосферные выпадения цезия-137 за 9 месяцев 2010 г. </w:t>
      </w:r>
      <w:r w:rsidRPr="000D21DA">
        <w:rPr>
          <w:rFonts w:ascii="Tahoma" w:eastAsia="Times New Roman" w:hAnsi="Tahoma" w:cs="Tahoma"/>
          <w:b/>
          <w:bCs/>
          <w:lang w:eastAsia="ru-RU"/>
        </w:rPr>
        <w:t>составили в среднем 1,22 Бк/м</w:t>
      </w:r>
      <w:r w:rsidRPr="000D21DA">
        <w:rPr>
          <w:rFonts w:ascii="Tahoma" w:eastAsia="Times New Roman" w:hAnsi="Tahoma" w:cs="Tahoma"/>
          <w:b/>
          <w:bCs/>
          <w:vertAlign w:val="superscript"/>
          <w:lang w:eastAsia="ru-RU"/>
        </w:rPr>
        <w:t>2</w:t>
      </w:r>
      <w:r w:rsidRPr="000D21DA">
        <w:rPr>
          <w:rFonts w:ascii="Tahoma" w:eastAsia="Times New Roman" w:hAnsi="Tahoma" w:cs="Tahoma"/>
          <w:b/>
          <w:bCs/>
          <w:lang w:eastAsia="ru-RU"/>
        </w:rPr>
        <w:t>, что в 1,3 раза меньше выпадений за тот же период 2009 г. Эта величина примерно в 5 раз превышает среднее значение по европейской территории страны.</w:t>
      </w:r>
      <w:r w:rsidRPr="000D21DA">
        <w:rPr>
          <w:rFonts w:ascii="Tahoma" w:eastAsia="Times New Roman" w:hAnsi="Tahoma" w:cs="Tahoma"/>
          <w:lang w:eastAsia="ru-RU"/>
        </w:rPr>
        <w:t>Наиболее высокие выпадения цезия-137 г. наблюдались на территории Брянской области в п. Красная Гора и достигали 6,6 Бк/м</w:t>
      </w:r>
      <w:r w:rsidRPr="000D21DA">
        <w:rPr>
          <w:rFonts w:ascii="Tahoma" w:eastAsia="Times New Roman" w:hAnsi="Tahoma" w:cs="Tahoma"/>
          <w:vertAlign w:val="superscript"/>
          <w:lang w:eastAsia="ru-RU"/>
        </w:rPr>
        <w:t>2</w:t>
      </w:r>
      <w:r w:rsidRPr="000D21DA">
        <w:rPr>
          <w:rFonts w:ascii="Tahoma" w:eastAsia="Times New Roman" w:hAnsi="Tahoma" w:cs="Tahoma"/>
          <w:lang w:eastAsia="ru-RU"/>
        </w:rPr>
        <w:t> за 9 месяцев 2010 года (в 2009 г. – 8,2 Бк/м</w:t>
      </w:r>
      <w:r w:rsidRPr="000D21DA">
        <w:rPr>
          <w:rFonts w:ascii="Tahoma" w:eastAsia="Times New Roman" w:hAnsi="Tahoma" w:cs="Tahoma"/>
          <w:vertAlign w:val="superscript"/>
          <w:lang w:eastAsia="ru-RU"/>
        </w:rPr>
        <w:t>2</w:t>
      </w:r>
      <w:r w:rsidRPr="000D21DA">
        <w:rPr>
          <w:rFonts w:ascii="Tahoma" w:eastAsia="Times New Roman" w:hAnsi="Tahoma" w:cs="Tahoma"/>
          <w:lang w:eastAsia="ru-RU"/>
        </w:rPr>
        <w:t> за тот же период).</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В ближайшем к загрязненной после Чернобыльской катастрофы зоне областном центре – г. Брянске максимальная среднемесячная объемная активность цезия-137 в атмосферном воздухе наблюдалась в апреле (14·10</w:t>
      </w:r>
      <w:r w:rsidRPr="000D21DA">
        <w:rPr>
          <w:rFonts w:ascii="Tahoma" w:eastAsia="Times New Roman" w:hAnsi="Tahoma" w:cs="Tahoma"/>
          <w:vertAlign w:val="superscript"/>
          <w:lang w:eastAsia="ru-RU"/>
        </w:rPr>
        <w:t>-7</w:t>
      </w:r>
      <w:r w:rsidRPr="000D21DA">
        <w:rPr>
          <w:rFonts w:ascii="Tahoma" w:eastAsia="Times New Roman" w:hAnsi="Tahoma" w:cs="Tahoma"/>
          <w:lang w:eastAsia="ru-RU"/>
        </w:rPr>
        <w:t>Бк/м</w:t>
      </w:r>
      <w:r w:rsidRPr="000D21DA">
        <w:rPr>
          <w:rFonts w:ascii="Tahoma" w:eastAsia="Times New Roman" w:hAnsi="Tahoma" w:cs="Tahoma"/>
          <w:vertAlign w:val="superscript"/>
          <w:lang w:eastAsia="ru-RU"/>
        </w:rPr>
        <w:t>3</w:t>
      </w:r>
      <w:r w:rsidRPr="000D21DA">
        <w:rPr>
          <w:rFonts w:ascii="Tahoma" w:eastAsia="Times New Roman" w:hAnsi="Tahoma" w:cs="Tahoma"/>
          <w:lang w:eastAsia="ru-RU"/>
        </w:rPr>
        <w:t>) и в августе (15·10</w:t>
      </w:r>
      <w:r w:rsidRPr="000D21DA">
        <w:rPr>
          <w:rFonts w:ascii="Tahoma" w:eastAsia="Times New Roman" w:hAnsi="Tahoma" w:cs="Tahoma"/>
          <w:vertAlign w:val="superscript"/>
          <w:lang w:eastAsia="ru-RU"/>
        </w:rPr>
        <w:t>-7</w:t>
      </w:r>
      <w:r w:rsidRPr="000D21DA">
        <w:rPr>
          <w:rFonts w:ascii="Tahoma" w:eastAsia="Times New Roman" w:hAnsi="Tahoma" w:cs="Tahoma"/>
          <w:lang w:eastAsia="ru-RU"/>
        </w:rPr>
        <w:t>Бк/м</w:t>
      </w:r>
      <w:r w:rsidRPr="000D21DA">
        <w:rPr>
          <w:rFonts w:ascii="Tahoma" w:eastAsia="Times New Roman" w:hAnsi="Tahoma" w:cs="Tahoma"/>
          <w:vertAlign w:val="superscript"/>
          <w:lang w:eastAsia="ru-RU"/>
        </w:rPr>
        <w:t>3</w:t>
      </w:r>
      <w:r w:rsidRPr="000D21DA">
        <w:rPr>
          <w:rFonts w:ascii="Tahoma" w:eastAsia="Times New Roman" w:hAnsi="Tahoma" w:cs="Tahoma"/>
          <w:lang w:eastAsia="ru-RU"/>
        </w:rPr>
        <w:t>), что выше среднего по стране в 3,5 раза, </w:t>
      </w:r>
      <w:r w:rsidRPr="000D21DA">
        <w:rPr>
          <w:rFonts w:ascii="Tahoma" w:eastAsia="Times New Roman" w:hAnsi="Tahoma" w:cs="Tahoma"/>
          <w:b/>
          <w:bCs/>
          <w:lang w:eastAsia="ru-RU"/>
        </w:rPr>
        <w:t xml:space="preserve">но на семь порядков ниже допустимых </w:t>
      </w:r>
      <w:r w:rsidRPr="000D21DA">
        <w:rPr>
          <w:rFonts w:ascii="Tahoma" w:eastAsia="Times New Roman" w:hAnsi="Tahoma" w:cs="Tahoma"/>
          <w:b/>
          <w:bCs/>
          <w:lang w:eastAsia="ru-RU"/>
        </w:rPr>
        <w:lastRenderedPageBreak/>
        <w:t>объемных активностей данного радионуклида в воздухе по НРБ-99/2009</w:t>
      </w:r>
      <w:r w:rsidRPr="000D21DA">
        <w:rPr>
          <w:rFonts w:ascii="Tahoma" w:eastAsia="Times New Roman" w:hAnsi="Tahoma" w:cs="Tahoma"/>
          <w:lang w:eastAsia="ru-RU"/>
        </w:rPr>
        <w:t> (ДОА</w:t>
      </w:r>
      <w:r w:rsidRPr="000D21DA">
        <w:rPr>
          <w:rFonts w:ascii="Tahoma" w:eastAsia="Times New Roman" w:hAnsi="Tahoma" w:cs="Tahoma"/>
          <w:vertAlign w:val="subscript"/>
          <w:lang w:eastAsia="ru-RU"/>
        </w:rPr>
        <w:t>нас</w:t>
      </w:r>
      <w:r w:rsidRPr="000D21DA">
        <w:rPr>
          <w:rFonts w:ascii="Tahoma" w:eastAsia="Times New Roman" w:hAnsi="Tahoma" w:cs="Tahoma"/>
          <w:lang w:eastAsia="ru-RU"/>
        </w:rPr>
        <w:t> = 27 Бк/м</w:t>
      </w:r>
      <w:r w:rsidRPr="000D21DA">
        <w:rPr>
          <w:rFonts w:ascii="Tahoma" w:eastAsia="Times New Roman" w:hAnsi="Tahoma" w:cs="Tahoma"/>
          <w:vertAlign w:val="superscript"/>
          <w:lang w:eastAsia="ru-RU"/>
        </w:rPr>
        <w:t>3</w:t>
      </w:r>
      <w:r w:rsidRPr="000D21DA">
        <w:rPr>
          <w:rFonts w:ascii="Tahoma" w:eastAsia="Times New Roman" w:hAnsi="Tahoma" w:cs="Tahoma"/>
          <w:lang w:eastAsia="ru-RU"/>
        </w:rPr>
        <w:t>).</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По данным Росгидромета в 2010 г. на территории Брянской и Тульской областей, загрязненной в результате катастрофы на Чернобыльской АЭС, в населенных пунктах с плотностью загрязнения местности цезием-137 5-15 Ки/км</w:t>
      </w:r>
      <w:r w:rsidRPr="000D21DA">
        <w:rPr>
          <w:rFonts w:ascii="Tahoma" w:eastAsia="Times New Roman" w:hAnsi="Tahoma" w:cs="Tahoma"/>
          <w:vertAlign w:val="superscript"/>
          <w:lang w:eastAsia="ru-RU"/>
        </w:rPr>
        <w:t>2</w:t>
      </w:r>
      <w:r w:rsidRPr="000D21DA">
        <w:rPr>
          <w:rFonts w:ascii="Tahoma" w:eastAsia="Times New Roman" w:hAnsi="Tahoma" w:cs="Tahoma"/>
          <w:lang w:eastAsia="ru-RU"/>
        </w:rPr>
        <w:t> значения МЭД находились в пределах от 17 до 46 мкР/ч (с. Ущерпье Клинцовского района Брянской обл.) и от 17 до 33 мкР/ч (с. Творишино Гордеевского района Брянской обл. и г. Плавск Тульской обл.); с плотностью загрязнения цезием-137 1-5 Ки/км</w:t>
      </w:r>
      <w:r w:rsidRPr="000D21DA">
        <w:rPr>
          <w:rFonts w:ascii="Tahoma" w:eastAsia="Times New Roman" w:hAnsi="Tahoma" w:cs="Tahoma"/>
          <w:vertAlign w:val="superscript"/>
          <w:lang w:eastAsia="ru-RU"/>
        </w:rPr>
        <w:t>2</w:t>
      </w:r>
      <w:r w:rsidRPr="000D21DA">
        <w:rPr>
          <w:rFonts w:ascii="Tahoma" w:eastAsia="Times New Roman" w:hAnsi="Tahoma" w:cs="Tahoma"/>
          <w:lang w:eastAsia="ru-RU"/>
        </w:rPr>
        <w:t> значения МЭД находились в пределах от 17 до 24 мкР/ч (п. Узловая Тульской обл.) и от 11 до 18 мкР/ч (с. Мартьяновка Клинцовского района, п. Красная Гора Красногорского района Брянской обл.). Эти значения сохранились на уровне значений предыдущего года.</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На территориях остальных областей Центрального федерального округа Российской Федерации, с плотностью загрязнения местности цезием-137 1 – 5 Ки/км</w:t>
      </w:r>
      <w:r w:rsidRPr="000D21DA">
        <w:rPr>
          <w:rFonts w:ascii="Tahoma" w:eastAsia="Times New Roman" w:hAnsi="Tahoma" w:cs="Tahoma"/>
          <w:vertAlign w:val="superscript"/>
          <w:lang w:eastAsia="ru-RU"/>
        </w:rPr>
        <w:t>2</w:t>
      </w:r>
      <w:r w:rsidRPr="000D21DA">
        <w:rPr>
          <w:rFonts w:ascii="Tahoma" w:eastAsia="Times New Roman" w:hAnsi="Tahoma" w:cs="Tahoma"/>
          <w:lang w:eastAsia="ru-RU"/>
        </w:rPr>
        <w:t> </w:t>
      </w:r>
      <w:r w:rsidRPr="000D21DA">
        <w:rPr>
          <w:rFonts w:ascii="Tahoma" w:eastAsia="Times New Roman" w:hAnsi="Tahoma" w:cs="Tahoma"/>
          <w:b/>
          <w:bCs/>
          <w:lang w:eastAsia="ru-RU"/>
        </w:rPr>
        <w:t>значения МЭДнаходятся в пределах величин, характерных для всей территории России.</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В непосредственной близости от ПО «Маяк» в п. Новогорный за 9 месяцев 2010г. выпадения цезия-137 из атмосферы составили 19,0 Бк/м</w:t>
      </w:r>
      <w:r w:rsidRPr="000D21DA">
        <w:rPr>
          <w:rFonts w:ascii="Tahoma" w:eastAsia="Times New Roman" w:hAnsi="Tahoma" w:cs="Tahoma"/>
          <w:vertAlign w:val="superscript"/>
          <w:lang w:eastAsia="ru-RU"/>
        </w:rPr>
        <w:t>2</w:t>
      </w:r>
      <w:r w:rsidRPr="000D21DA">
        <w:rPr>
          <w:rFonts w:ascii="Tahoma" w:eastAsia="Times New Roman" w:hAnsi="Tahoma" w:cs="Tahoma"/>
          <w:lang w:eastAsia="ru-RU"/>
        </w:rPr>
        <w:t>. Это значение несколько выше по сравнению с тем же периодом 2009 года (12,2 Бк/м</w:t>
      </w:r>
      <w:r w:rsidRPr="000D21DA">
        <w:rPr>
          <w:rFonts w:ascii="Tahoma" w:eastAsia="Times New Roman" w:hAnsi="Tahoma" w:cs="Tahoma"/>
          <w:vertAlign w:val="superscript"/>
          <w:lang w:eastAsia="ru-RU"/>
        </w:rPr>
        <w:t>2</w:t>
      </w:r>
      <w:r w:rsidRPr="000D21DA">
        <w:rPr>
          <w:rFonts w:ascii="Tahoma" w:eastAsia="Times New Roman" w:hAnsi="Tahoma" w:cs="Tahoma"/>
          <w:lang w:eastAsia="ru-RU"/>
        </w:rPr>
        <w:t>). Среднемесячные </w:t>
      </w:r>
      <w:r w:rsidRPr="000D21DA">
        <w:rPr>
          <w:rFonts w:ascii="Tahoma" w:eastAsia="Times New Roman" w:hAnsi="Tahoma" w:cs="Tahoma"/>
          <w:b/>
          <w:bCs/>
          <w:lang w:eastAsia="ru-RU"/>
        </w:rPr>
        <w:t>ОА </w:t>
      </w:r>
      <w:r w:rsidRPr="000D21DA">
        <w:rPr>
          <w:rFonts w:ascii="Tahoma" w:eastAsia="Times New Roman" w:hAnsi="Tahoma" w:cs="Tahoma"/>
          <w:lang w:eastAsia="ru-RU"/>
        </w:rPr>
        <w:t>трития в атмосферных осадках за март-ноябрь 2010 г. изменялись в пределах от 29 до 70 Бк/л, что на 1-2 порядка выше среднемесячных значений за пределами загрязненных территорий. Максимальная среднемесячная объемная активность цезия-137 в воздухе наблюдалась в июле и составляла 341∙10</w:t>
      </w:r>
      <w:r w:rsidRPr="000D21DA">
        <w:rPr>
          <w:rFonts w:ascii="Tahoma" w:eastAsia="Times New Roman" w:hAnsi="Tahoma" w:cs="Tahoma"/>
          <w:vertAlign w:val="superscript"/>
          <w:lang w:eastAsia="ru-RU"/>
        </w:rPr>
        <w:t>-7</w:t>
      </w:r>
      <w:r w:rsidRPr="000D21DA">
        <w:rPr>
          <w:rFonts w:ascii="Tahoma" w:eastAsia="Times New Roman" w:hAnsi="Tahoma" w:cs="Tahoma"/>
          <w:lang w:eastAsia="ru-RU"/>
        </w:rPr>
        <w:t> Бк/м</w:t>
      </w:r>
      <w:r w:rsidRPr="000D21DA">
        <w:rPr>
          <w:rFonts w:ascii="Tahoma" w:eastAsia="Times New Roman" w:hAnsi="Tahoma" w:cs="Tahoma"/>
          <w:vertAlign w:val="superscript"/>
          <w:lang w:eastAsia="ru-RU"/>
        </w:rPr>
        <w:t>3</w:t>
      </w:r>
      <w:r w:rsidRPr="000D21DA">
        <w:rPr>
          <w:rFonts w:ascii="Tahoma" w:eastAsia="Times New Roman" w:hAnsi="Tahoma" w:cs="Tahoma"/>
          <w:lang w:eastAsia="ru-RU"/>
        </w:rPr>
        <w:t>, </w:t>
      </w:r>
      <w:r w:rsidRPr="000D21DA">
        <w:rPr>
          <w:rFonts w:ascii="Tahoma" w:eastAsia="Times New Roman" w:hAnsi="Tahoma" w:cs="Tahoma"/>
          <w:b/>
          <w:bCs/>
          <w:lang w:eastAsia="ru-RU"/>
        </w:rPr>
        <w:t>что на 5 порядков ниже допустимой объемной активности цезия-137 для населения по НРБ-99/2009</w:t>
      </w:r>
      <w:r w:rsidRPr="000D21DA">
        <w:rPr>
          <w:rFonts w:ascii="Tahoma" w:eastAsia="Times New Roman" w:hAnsi="Tahoma" w:cs="Tahoma"/>
          <w:lang w:eastAsia="ru-RU"/>
        </w:rPr>
        <w:t>.</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Концентрация стронция-90 в воде реки Теча в районе п. Муслюмово (Челябинская область) примерно сохранилась на уровне 2009 г. и составила 11 Бк/л. Это значение в 2,3 раза превышает уровень вмешательства в соответствии с НРБ-99/2009 и в 2700 раз выше фонового уровня для рек России. В воде реки Исеть (п. Мехонское), после впадения рек Течи и Миасса, концентрация стронция-90 составляла 1,7 Бк/л, что в 2,9 раз ниже уровня вмешательства по НРБ-99/2009. Объемная активность стронция-90 в воде реки Караболка (п. Усть-Караболка), протекающей по территории Восточно-Уральского радиоактивного следа в 2010 г. составляла 1,0 Бк/л (в 2009 г. – 1,5 Бк/л), что в 5 раз ниже уровня вмешательства для населения.</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b/>
          <w:bCs/>
          <w:lang w:eastAsia="ru-RU"/>
        </w:rPr>
        <w:t>            В целом, истекший 2010 год характеризовался отсутствием техногенных аварий, связанных с поступлением радиоактивных веществ в природную среду.</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w:t>
      </w:r>
      <w:r w:rsidRPr="000D21DA">
        <w:rPr>
          <w:rFonts w:ascii="Tahoma" w:eastAsia="Times New Roman" w:hAnsi="Tahoma" w:cs="Tahoma"/>
          <w:b/>
          <w:bCs/>
          <w:lang w:eastAsia="ru-RU"/>
        </w:rPr>
        <w:t>Таким образом, радиационная обстановка на территории Российской Федерации оставалась стабильной, содержание радионуклидов антропогенного происхождения в атмосферном воздухе, почвах, поверхностных водах суши и морей сохранилось на уровне 2009 года.</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b/>
          <w:bCs/>
          <w:lang w:eastAsia="ru-RU"/>
        </w:rPr>
        <w:t> </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b/>
          <w:bCs/>
          <w:lang w:eastAsia="ru-RU"/>
        </w:rPr>
        <w:t> </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           </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Врио начальника Управления мониторинга</w:t>
      </w:r>
    </w:p>
    <w:p w:rsidR="000D21DA" w:rsidRPr="000D21DA" w:rsidRDefault="000D21DA" w:rsidP="000D21DA">
      <w:pPr>
        <w:spacing w:after="0" w:line="240" w:lineRule="auto"/>
        <w:rPr>
          <w:rFonts w:ascii="Tahoma" w:eastAsia="Times New Roman" w:hAnsi="Tahoma" w:cs="Tahoma"/>
          <w:lang w:eastAsia="ru-RU"/>
        </w:rPr>
      </w:pPr>
      <w:r w:rsidRPr="000D21DA">
        <w:rPr>
          <w:rFonts w:ascii="Tahoma" w:eastAsia="Times New Roman" w:hAnsi="Tahoma" w:cs="Tahoma"/>
          <w:lang w:eastAsia="ru-RU"/>
        </w:rPr>
        <w:t>загрязнения окружающей среды, полярных</w:t>
      </w:r>
    </w:p>
    <w:p w:rsidR="0032091A" w:rsidRPr="000D21DA" w:rsidRDefault="000D21DA" w:rsidP="000D21DA">
      <w:r w:rsidRPr="000D21DA">
        <w:rPr>
          <w:rFonts w:ascii="Tahoma" w:eastAsia="Times New Roman" w:hAnsi="Tahoma" w:cs="Tahoma"/>
          <w:shd w:val="clear" w:color="auto" w:fill="FFFFFF"/>
          <w:lang w:eastAsia="ru-RU"/>
        </w:rPr>
        <w:t>и морских работ Росгидромета</w:t>
      </w:r>
      <w:r w:rsidRPr="000D21DA">
        <w:rPr>
          <w:rFonts w:ascii="Tahoma" w:eastAsia="Times New Roman" w:hAnsi="Tahoma" w:cs="Tahoma"/>
          <w:lang w:eastAsia="ru-RU"/>
        </w:rPr>
        <w:t>                                                                               Ю.В. Пешков</w:t>
      </w:r>
    </w:p>
    <w:sectPr w:rsidR="0032091A" w:rsidRPr="000D2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CF"/>
    <w:rsid w:val="000D21DA"/>
    <w:rsid w:val="000E13CF"/>
    <w:rsid w:val="00B1256D"/>
    <w:rsid w:val="00BC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D21DA"/>
  </w:style>
  <w:style w:type="character" w:styleId="a3">
    <w:name w:val="Strong"/>
    <w:basedOn w:val="a0"/>
    <w:uiPriority w:val="22"/>
    <w:qFormat/>
    <w:rsid w:val="000D21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D21DA"/>
  </w:style>
  <w:style w:type="character" w:styleId="a3">
    <w:name w:val="Strong"/>
    <w:basedOn w:val="a0"/>
    <w:uiPriority w:val="22"/>
    <w:qFormat/>
    <w:rsid w:val="000D2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46101">
      <w:bodyDiv w:val="1"/>
      <w:marLeft w:val="0"/>
      <w:marRight w:val="0"/>
      <w:marTop w:val="0"/>
      <w:marBottom w:val="0"/>
      <w:divBdr>
        <w:top w:val="none" w:sz="0" w:space="0" w:color="auto"/>
        <w:left w:val="none" w:sz="0" w:space="0" w:color="auto"/>
        <w:bottom w:val="none" w:sz="0" w:space="0" w:color="auto"/>
        <w:right w:val="none" w:sz="0" w:space="0" w:color="auto"/>
      </w:divBdr>
      <w:divsChild>
        <w:div w:id="1620910928">
          <w:marLeft w:val="0"/>
          <w:marRight w:val="0"/>
          <w:marTop w:val="0"/>
          <w:marBottom w:val="0"/>
          <w:divBdr>
            <w:top w:val="none" w:sz="0" w:space="0" w:color="auto"/>
            <w:left w:val="none" w:sz="0" w:space="0" w:color="auto"/>
            <w:bottom w:val="none" w:sz="0" w:space="0" w:color="auto"/>
            <w:right w:val="none" w:sz="0" w:space="0" w:color="auto"/>
          </w:divBdr>
        </w:div>
        <w:div w:id="1305745053">
          <w:marLeft w:val="0"/>
          <w:marRight w:val="0"/>
          <w:marTop w:val="0"/>
          <w:marBottom w:val="0"/>
          <w:divBdr>
            <w:top w:val="none" w:sz="0" w:space="0" w:color="auto"/>
            <w:left w:val="none" w:sz="0" w:space="0" w:color="auto"/>
            <w:bottom w:val="none" w:sz="0" w:space="0" w:color="auto"/>
            <w:right w:val="none" w:sz="0" w:space="0" w:color="auto"/>
          </w:divBdr>
        </w:div>
        <w:div w:id="262420356">
          <w:marLeft w:val="0"/>
          <w:marRight w:val="0"/>
          <w:marTop w:val="0"/>
          <w:marBottom w:val="0"/>
          <w:divBdr>
            <w:top w:val="none" w:sz="0" w:space="0" w:color="auto"/>
            <w:left w:val="none" w:sz="0" w:space="0" w:color="auto"/>
            <w:bottom w:val="none" w:sz="0" w:space="0" w:color="auto"/>
            <w:right w:val="none" w:sz="0" w:space="0" w:color="auto"/>
          </w:divBdr>
        </w:div>
        <w:div w:id="1379818320">
          <w:marLeft w:val="0"/>
          <w:marRight w:val="0"/>
          <w:marTop w:val="0"/>
          <w:marBottom w:val="0"/>
          <w:divBdr>
            <w:top w:val="none" w:sz="0" w:space="0" w:color="auto"/>
            <w:left w:val="none" w:sz="0" w:space="0" w:color="auto"/>
            <w:bottom w:val="none" w:sz="0" w:space="0" w:color="auto"/>
            <w:right w:val="none" w:sz="0" w:space="0" w:color="auto"/>
          </w:divBdr>
        </w:div>
        <w:div w:id="650989035">
          <w:marLeft w:val="0"/>
          <w:marRight w:val="0"/>
          <w:marTop w:val="0"/>
          <w:marBottom w:val="0"/>
          <w:divBdr>
            <w:top w:val="none" w:sz="0" w:space="0" w:color="auto"/>
            <w:left w:val="none" w:sz="0" w:space="0" w:color="auto"/>
            <w:bottom w:val="none" w:sz="0" w:space="0" w:color="auto"/>
            <w:right w:val="none" w:sz="0" w:space="0" w:color="auto"/>
          </w:divBdr>
        </w:div>
        <w:div w:id="1149594829">
          <w:marLeft w:val="0"/>
          <w:marRight w:val="0"/>
          <w:marTop w:val="0"/>
          <w:marBottom w:val="0"/>
          <w:divBdr>
            <w:top w:val="none" w:sz="0" w:space="0" w:color="auto"/>
            <w:left w:val="none" w:sz="0" w:space="0" w:color="auto"/>
            <w:bottom w:val="none" w:sz="0" w:space="0" w:color="auto"/>
            <w:right w:val="none" w:sz="0" w:space="0" w:color="auto"/>
          </w:divBdr>
        </w:div>
        <w:div w:id="381098443">
          <w:marLeft w:val="0"/>
          <w:marRight w:val="0"/>
          <w:marTop w:val="0"/>
          <w:marBottom w:val="0"/>
          <w:divBdr>
            <w:top w:val="none" w:sz="0" w:space="0" w:color="auto"/>
            <w:left w:val="none" w:sz="0" w:space="0" w:color="auto"/>
            <w:bottom w:val="none" w:sz="0" w:space="0" w:color="auto"/>
            <w:right w:val="none" w:sz="0" w:space="0" w:color="auto"/>
          </w:divBdr>
        </w:div>
        <w:div w:id="318002008">
          <w:marLeft w:val="0"/>
          <w:marRight w:val="0"/>
          <w:marTop w:val="0"/>
          <w:marBottom w:val="0"/>
          <w:divBdr>
            <w:top w:val="none" w:sz="0" w:space="0" w:color="auto"/>
            <w:left w:val="none" w:sz="0" w:space="0" w:color="auto"/>
            <w:bottom w:val="none" w:sz="0" w:space="0" w:color="auto"/>
            <w:right w:val="none" w:sz="0" w:space="0" w:color="auto"/>
          </w:divBdr>
        </w:div>
        <w:div w:id="1949659857">
          <w:marLeft w:val="0"/>
          <w:marRight w:val="0"/>
          <w:marTop w:val="0"/>
          <w:marBottom w:val="0"/>
          <w:divBdr>
            <w:top w:val="none" w:sz="0" w:space="0" w:color="auto"/>
            <w:left w:val="none" w:sz="0" w:space="0" w:color="auto"/>
            <w:bottom w:val="none" w:sz="0" w:space="0" w:color="auto"/>
            <w:right w:val="none" w:sz="0" w:space="0" w:color="auto"/>
          </w:divBdr>
        </w:div>
        <w:div w:id="1419328149">
          <w:marLeft w:val="0"/>
          <w:marRight w:val="0"/>
          <w:marTop w:val="0"/>
          <w:marBottom w:val="0"/>
          <w:divBdr>
            <w:top w:val="none" w:sz="0" w:space="0" w:color="auto"/>
            <w:left w:val="none" w:sz="0" w:space="0" w:color="auto"/>
            <w:bottom w:val="none" w:sz="0" w:space="0" w:color="auto"/>
            <w:right w:val="none" w:sz="0" w:space="0" w:color="auto"/>
          </w:divBdr>
        </w:div>
        <w:div w:id="133718125">
          <w:marLeft w:val="0"/>
          <w:marRight w:val="0"/>
          <w:marTop w:val="0"/>
          <w:marBottom w:val="0"/>
          <w:divBdr>
            <w:top w:val="none" w:sz="0" w:space="0" w:color="auto"/>
            <w:left w:val="none" w:sz="0" w:space="0" w:color="auto"/>
            <w:bottom w:val="none" w:sz="0" w:space="0" w:color="auto"/>
            <w:right w:val="none" w:sz="0" w:space="0" w:color="auto"/>
          </w:divBdr>
        </w:div>
        <w:div w:id="1819878810">
          <w:marLeft w:val="0"/>
          <w:marRight w:val="0"/>
          <w:marTop w:val="0"/>
          <w:marBottom w:val="0"/>
          <w:divBdr>
            <w:top w:val="none" w:sz="0" w:space="0" w:color="auto"/>
            <w:left w:val="none" w:sz="0" w:space="0" w:color="auto"/>
            <w:bottom w:val="none" w:sz="0" w:space="0" w:color="auto"/>
            <w:right w:val="none" w:sz="0" w:space="0" w:color="auto"/>
          </w:divBdr>
        </w:div>
        <w:div w:id="354620233">
          <w:marLeft w:val="0"/>
          <w:marRight w:val="0"/>
          <w:marTop w:val="0"/>
          <w:marBottom w:val="0"/>
          <w:divBdr>
            <w:top w:val="none" w:sz="0" w:space="0" w:color="auto"/>
            <w:left w:val="none" w:sz="0" w:space="0" w:color="auto"/>
            <w:bottom w:val="none" w:sz="0" w:space="0" w:color="auto"/>
            <w:right w:val="none" w:sz="0" w:space="0" w:color="auto"/>
          </w:divBdr>
        </w:div>
        <w:div w:id="1778407561">
          <w:marLeft w:val="0"/>
          <w:marRight w:val="0"/>
          <w:marTop w:val="0"/>
          <w:marBottom w:val="0"/>
          <w:divBdr>
            <w:top w:val="none" w:sz="0" w:space="0" w:color="auto"/>
            <w:left w:val="none" w:sz="0" w:space="0" w:color="auto"/>
            <w:bottom w:val="none" w:sz="0" w:space="0" w:color="auto"/>
            <w:right w:val="none" w:sz="0" w:space="0" w:color="auto"/>
          </w:divBdr>
        </w:div>
        <w:div w:id="784808867">
          <w:marLeft w:val="0"/>
          <w:marRight w:val="0"/>
          <w:marTop w:val="0"/>
          <w:marBottom w:val="0"/>
          <w:divBdr>
            <w:top w:val="none" w:sz="0" w:space="0" w:color="auto"/>
            <w:left w:val="none" w:sz="0" w:space="0" w:color="auto"/>
            <w:bottom w:val="none" w:sz="0" w:space="0" w:color="auto"/>
            <w:right w:val="none" w:sz="0" w:space="0" w:color="auto"/>
          </w:divBdr>
        </w:div>
        <w:div w:id="1942905986">
          <w:marLeft w:val="0"/>
          <w:marRight w:val="0"/>
          <w:marTop w:val="0"/>
          <w:marBottom w:val="0"/>
          <w:divBdr>
            <w:top w:val="none" w:sz="0" w:space="0" w:color="auto"/>
            <w:left w:val="none" w:sz="0" w:space="0" w:color="auto"/>
            <w:bottom w:val="none" w:sz="0" w:space="0" w:color="auto"/>
            <w:right w:val="none" w:sz="0" w:space="0" w:color="auto"/>
          </w:divBdr>
        </w:div>
        <w:div w:id="2099668798">
          <w:marLeft w:val="0"/>
          <w:marRight w:val="0"/>
          <w:marTop w:val="0"/>
          <w:marBottom w:val="0"/>
          <w:divBdr>
            <w:top w:val="none" w:sz="0" w:space="0" w:color="auto"/>
            <w:left w:val="none" w:sz="0" w:space="0" w:color="auto"/>
            <w:bottom w:val="none" w:sz="0" w:space="0" w:color="auto"/>
            <w:right w:val="none" w:sz="0" w:space="0" w:color="auto"/>
          </w:divBdr>
        </w:div>
        <w:div w:id="1420983643">
          <w:marLeft w:val="0"/>
          <w:marRight w:val="0"/>
          <w:marTop w:val="0"/>
          <w:marBottom w:val="0"/>
          <w:divBdr>
            <w:top w:val="none" w:sz="0" w:space="0" w:color="auto"/>
            <w:left w:val="none" w:sz="0" w:space="0" w:color="auto"/>
            <w:bottom w:val="none" w:sz="0" w:space="0" w:color="auto"/>
            <w:right w:val="none" w:sz="0" w:space="0" w:color="auto"/>
          </w:divBdr>
        </w:div>
        <w:div w:id="408625526">
          <w:marLeft w:val="0"/>
          <w:marRight w:val="0"/>
          <w:marTop w:val="0"/>
          <w:marBottom w:val="0"/>
          <w:divBdr>
            <w:top w:val="none" w:sz="0" w:space="0" w:color="auto"/>
            <w:left w:val="none" w:sz="0" w:space="0" w:color="auto"/>
            <w:bottom w:val="none" w:sz="0" w:space="0" w:color="auto"/>
            <w:right w:val="none" w:sz="0" w:space="0" w:color="auto"/>
          </w:divBdr>
          <w:divsChild>
            <w:div w:id="1270313562">
              <w:marLeft w:val="0"/>
              <w:marRight w:val="0"/>
              <w:marTop w:val="0"/>
              <w:marBottom w:val="0"/>
              <w:divBdr>
                <w:top w:val="none" w:sz="0" w:space="0" w:color="auto"/>
                <w:left w:val="none" w:sz="0" w:space="0" w:color="auto"/>
                <w:bottom w:val="none" w:sz="0" w:space="0" w:color="auto"/>
                <w:right w:val="none" w:sz="0" w:space="0" w:color="auto"/>
              </w:divBdr>
            </w:div>
          </w:divsChild>
        </w:div>
        <w:div w:id="1174686481">
          <w:marLeft w:val="0"/>
          <w:marRight w:val="0"/>
          <w:marTop w:val="0"/>
          <w:marBottom w:val="0"/>
          <w:divBdr>
            <w:top w:val="none" w:sz="0" w:space="0" w:color="auto"/>
            <w:left w:val="none" w:sz="0" w:space="0" w:color="auto"/>
            <w:bottom w:val="none" w:sz="0" w:space="0" w:color="auto"/>
            <w:right w:val="none" w:sz="0" w:space="0" w:color="auto"/>
          </w:divBdr>
        </w:div>
        <w:div w:id="1469124331">
          <w:marLeft w:val="0"/>
          <w:marRight w:val="0"/>
          <w:marTop w:val="0"/>
          <w:marBottom w:val="0"/>
          <w:divBdr>
            <w:top w:val="none" w:sz="0" w:space="0" w:color="auto"/>
            <w:left w:val="none" w:sz="0" w:space="0" w:color="auto"/>
            <w:bottom w:val="none" w:sz="0" w:space="0" w:color="auto"/>
            <w:right w:val="none" w:sz="0" w:space="0" w:color="auto"/>
          </w:divBdr>
        </w:div>
        <w:div w:id="1616709606">
          <w:marLeft w:val="0"/>
          <w:marRight w:val="0"/>
          <w:marTop w:val="0"/>
          <w:marBottom w:val="0"/>
          <w:divBdr>
            <w:top w:val="none" w:sz="0" w:space="0" w:color="auto"/>
            <w:left w:val="none" w:sz="0" w:space="0" w:color="auto"/>
            <w:bottom w:val="none" w:sz="0" w:space="0" w:color="auto"/>
            <w:right w:val="none" w:sz="0" w:space="0" w:color="auto"/>
          </w:divBdr>
        </w:div>
        <w:div w:id="277029278">
          <w:marLeft w:val="0"/>
          <w:marRight w:val="0"/>
          <w:marTop w:val="0"/>
          <w:marBottom w:val="0"/>
          <w:divBdr>
            <w:top w:val="none" w:sz="0" w:space="0" w:color="auto"/>
            <w:left w:val="none" w:sz="0" w:space="0" w:color="auto"/>
            <w:bottom w:val="none" w:sz="0" w:space="0" w:color="auto"/>
            <w:right w:val="none" w:sz="0" w:space="0" w:color="auto"/>
          </w:divBdr>
        </w:div>
        <w:div w:id="895092838">
          <w:marLeft w:val="0"/>
          <w:marRight w:val="0"/>
          <w:marTop w:val="0"/>
          <w:marBottom w:val="0"/>
          <w:divBdr>
            <w:top w:val="none" w:sz="0" w:space="0" w:color="auto"/>
            <w:left w:val="none" w:sz="0" w:space="0" w:color="auto"/>
            <w:bottom w:val="none" w:sz="0" w:space="0" w:color="auto"/>
            <w:right w:val="none" w:sz="0" w:space="0" w:color="auto"/>
          </w:divBdr>
        </w:div>
        <w:div w:id="904022849">
          <w:marLeft w:val="0"/>
          <w:marRight w:val="0"/>
          <w:marTop w:val="0"/>
          <w:marBottom w:val="0"/>
          <w:divBdr>
            <w:top w:val="none" w:sz="0" w:space="0" w:color="auto"/>
            <w:left w:val="none" w:sz="0" w:space="0" w:color="auto"/>
            <w:bottom w:val="none" w:sz="0" w:space="0" w:color="auto"/>
            <w:right w:val="none" w:sz="0" w:space="0" w:color="auto"/>
          </w:divBdr>
        </w:div>
        <w:div w:id="336420835">
          <w:marLeft w:val="0"/>
          <w:marRight w:val="0"/>
          <w:marTop w:val="0"/>
          <w:marBottom w:val="0"/>
          <w:divBdr>
            <w:top w:val="none" w:sz="0" w:space="0" w:color="auto"/>
            <w:left w:val="none" w:sz="0" w:space="0" w:color="auto"/>
            <w:bottom w:val="none" w:sz="0" w:space="0" w:color="auto"/>
            <w:right w:val="none" w:sz="0" w:space="0" w:color="auto"/>
          </w:divBdr>
        </w:div>
        <w:div w:id="674653262">
          <w:marLeft w:val="0"/>
          <w:marRight w:val="0"/>
          <w:marTop w:val="0"/>
          <w:marBottom w:val="0"/>
          <w:divBdr>
            <w:top w:val="none" w:sz="0" w:space="0" w:color="auto"/>
            <w:left w:val="none" w:sz="0" w:space="0" w:color="auto"/>
            <w:bottom w:val="none" w:sz="0" w:space="0" w:color="auto"/>
            <w:right w:val="none" w:sz="0" w:space="0" w:color="auto"/>
          </w:divBdr>
        </w:div>
        <w:div w:id="921330629">
          <w:marLeft w:val="0"/>
          <w:marRight w:val="0"/>
          <w:marTop w:val="0"/>
          <w:marBottom w:val="0"/>
          <w:divBdr>
            <w:top w:val="none" w:sz="0" w:space="0" w:color="auto"/>
            <w:left w:val="none" w:sz="0" w:space="0" w:color="auto"/>
            <w:bottom w:val="none" w:sz="0" w:space="0" w:color="auto"/>
            <w:right w:val="none" w:sz="0" w:space="0" w:color="auto"/>
          </w:divBdr>
        </w:div>
        <w:div w:id="339161287">
          <w:marLeft w:val="0"/>
          <w:marRight w:val="0"/>
          <w:marTop w:val="0"/>
          <w:marBottom w:val="0"/>
          <w:divBdr>
            <w:top w:val="none" w:sz="0" w:space="0" w:color="auto"/>
            <w:left w:val="none" w:sz="0" w:space="0" w:color="auto"/>
            <w:bottom w:val="none" w:sz="0" w:space="0" w:color="auto"/>
            <w:right w:val="none" w:sz="0" w:space="0" w:color="auto"/>
          </w:divBdr>
        </w:div>
        <w:div w:id="1528324545">
          <w:marLeft w:val="0"/>
          <w:marRight w:val="0"/>
          <w:marTop w:val="0"/>
          <w:marBottom w:val="0"/>
          <w:divBdr>
            <w:top w:val="none" w:sz="0" w:space="0" w:color="auto"/>
            <w:left w:val="none" w:sz="0" w:space="0" w:color="auto"/>
            <w:bottom w:val="none" w:sz="0" w:space="0" w:color="auto"/>
            <w:right w:val="none" w:sz="0" w:space="0" w:color="auto"/>
          </w:divBdr>
        </w:div>
        <w:div w:id="1154638762">
          <w:marLeft w:val="0"/>
          <w:marRight w:val="0"/>
          <w:marTop w:val="0"/>
          <w:marBottom w:val="0"/>
          <w:divBdr>
            <w:top w:val="none" w:sz="0" w:space="0" w:color="auto"/>
            <w:left w:val="none" w:sz="0" w:space="0" w:color="auto"/>
            <w:bottom w:val="none" w:sz="0" w:space="0" w:color="auto"/>
            <w:right w:val="none" w:sz="0" w:space="0" w:color="auto"/>
          </w:divBdr>
        </w:div>
        <w:div w:id="678387111">
          <w:marLeft w:val="0"/>
          <w:marRight w:val="0"/>
          <w:marTop w:val="0"/>
          <w:marBottom w:val="0"/>
          <w:divBdr>
            <w:top w:val="none" w:sz="0" w:space="0" w:color="auto"/>
            <w:left w:val="none" w:sz="0" w:space="0" w:color="auto"/>
            <w:bottom w:val="none" w:sz="0" w:space="0" w:color="auto"/>
            <w:right w:val="none" w:sz="0" w:space="0" w:color="auto"/>
          </w:divBdr>
        </w:div>
        <w:div w:id="214554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9125</Characters>
  <Application>Microsoft Office Word</Application>
  <DocSecurity>0</DocSecurity>
  <Lines>76</Lines>
  <Paragraphs>21</Paragraphs>
  <ScaleCrop>false</ScaleCrop>
  <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Smelova</dc:creator>
  <cp:keywords/>
  <dc:description/>
  <cp:lastModifiedBy>Anna Smelova</cp:lastModifiedBy>
  <cp:revision>2</cp:revision>
  <dcterms:created xsi:type="dcterms:W3CDTF">2013-05-16T11:16:00Z</dcterms:created>
  <dcterms:modified xsi:type="dcterms:W3CDTF">2013-05-16T11:16:00Z</dcterms:modified>
</cp:coreProperties>
</file>