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0AD7FCD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154D1E">
        <w:rPr>
          <w:rFonts w:ascii="Times New Roman" w:hAnsi="Times New Roman"/>
          <w:b/>
          <w:sz w:val="24"/>
          <w:szCs w:val="24"/>
        </w:rPr>
        <w:t>2</w:t>
      </w:r>
      <w:r w:rsidR="00C95586">
        <w:rPr>
          <w:rFonts w:ascii="Times New Roman" w:hAnsi="Times New Roman"/>
          <w:b/>
          <w:sz w:val="24"/>
          <w:szCs w:val="24"/>
        </w:rPr>
        <w:t>8 мая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C95586">
        <w:rPr>
          <w:rFonts w:ascii="Times New Roman" w:hAnsi="Times New Roman"/>
          <w:b/>
          <w:sz w:val="24"/>
          <w:szCs w:val="24"/>
        </w:rPr>
        <w:t>03 июня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A09243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C95586">
        <w:rPr>
          <w:rFonts w:ascii="Times New Roman" w:hAnsi="Times New Roman"/>
          <w:sz w:val="24"/>
          <w:szCs w:val="24"/>
        </w:rPr>
        <w:t>04.06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9135DA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95586">
        <w:rPr>
          <w:rFonts w:ascii="Times New Roman" w:hAnsi="Times New Roman"/>
          <w:sz w:val="24"/>
          <w:szCs w:val="24"/>
        </w:rPr>
        <w:t>1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C95586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44F6380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54D1E">
        <w:rPr>
          <w:rFonts w:ascii="Times New Roman" w:hAnsi="Times New Roman"/>
          <w:sz w:val="24"/>
          <w:szCs w:val="24"/>
        </w:rPr>
        <w:t>4</w:t>
      </w:r>
      <w:r w:rsidR="00C95586">
        <w:rPr>
          <w:rFonts w:ascii="Times New Roman" w:hAnsi="Times New Roman"/>
          <w:sz w:val="24"/>
          <w:szCs w:val="24"/>
        </w:rPr>
        <w:t>6</w:t>
      </w:r>
      <w:r w:rsidR="00474B05">
        <w:rPr>
          <w:rFonts w:ascii="Times New Roman" w:hAnsi="Times New Roman"/>
          <w:sz w:val="24"/>
          <w:szCs w:val="24"/>
        </w:rPr>
        <w:t>,</w:t>
      </w:r>
      <w:r w:rsidR="00C95586">
        <w:rPr>
          <w:rFonts w:ascii="Times New Roman" w:hAnsi="Times New Roman"/>
          <w:sz w:val="24"/>
          <w:szCs w:val="24"/>
        </w:rPr>
        <w:t>8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08F8720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11467" w:rsidRPr="00154D1E">
        <w:rPr>
          <w:rFonts w:ascii="Times New Roman" w:hAnsi="Times New Roman"/>
          <w:sz w:val="24"/>
          <w:szCs w:val="24"/>
        </w:rPr>
        <w:t>7</w:t>
      </w:r>
      <w:r w:rsidR="00C95586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FC546B7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54D1E">
        <w:rPr>
          <w:rFonts w:ascii="Times New Roman" w:hAnsi="Times New Roman"/>
          <w:sz w:val="24"/>
          <w:szCs w:val="24"/>
        </w:rPr>
        <w:t>ССВ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C95586">
        <w:rPr>
          <w:rFonts w:ascii="Times New Roman" w:hAnsi="Times New Roman"/>
          <w:sz w:val="24"/>
          <w:szCs w:val="24"/>
        </w:rPr>
        <w:t>5</w:t>
      </w:r>
      <w:r w:rsidR="00F11467" w:rsidRPr="00154D1E">
        <w:rPr>
          <w:rFonts w:ascii="Times New Roman" w:hAnsi="Times New Roman"/>
          <w:sz w:val="24"/>
          <w:szCs w:val="24"/>
        </w:rPr>
        <w:t>-</w:t>
      </w:r>
      <w:r w:rsidR="00C95586">
        <w:rPr>
          <w:rFonts w:ascii="Times New Roman" w:hAnsi="Times New Roman"/>
          <w:sz w:val="24"/>
          <w:szCs w:val="24"/>
        </w:rPr>
        <w:t>6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009F2C" w14:textId="28EB49FC" w:rsidR="00F11467" w:rsidRDefault="00F11467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1E32A6B6" w14:textId="434BCE79" w:rsidR="00C95586" w:rsidRDefault="00C95586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86">
        <w:rPr>
          <w:rFonts w:ascii="Times New Roman" w:eastAsia="Times New Roman" w:hAnsi="Times New Roman"/>
          <w:sz w:val="24"/>
          <w:szCs w:val="24"/>
          <w:lang w:eastAsia="ru-RU"/>
        </w:rPr>
        <w:t xml:space="preserve">03.06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интеркалибрационных измерений </w:t>
      </w:r>
      <w:r w:rsidRPr="00C95586">
        <w:rPr>
          <w:rFonts w:ascii="Times New Roman" w:eastAsia="Times New Roman" w:hAnsi="Times New Roman"/>
          <w:sz w:val="24"/>
          <w:szCs w:val="24"/>
          <w:lang w:eastAsia="ru-RU"/>
        </w:rPr>
        <w:t xml:space="preserve">сняты метеорологические датчики,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установленные в местах исторического расположения метеостанции</w:t>
      </w:r>
      <w:r w:rsidRPr="00C955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3ADD013A" w:rsidR="008103B7" w:rsidRPr="001B7D3C" w:rsidRDefault="00C7096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Выполнен анализ </w:t>
      </w:r>
      <w:r w:rsidR="00C95586">
        <w:rPr>
          <w:rFonts w:ascii="Times New Roman" w:hAnsi="Times New Roman"/>
          <w:bCs/>
          <w:sz w:val="24"/>
          <w:szCs w:val="24"/>
        </w:rPr>
        <w:t>содержания гидрокарбонато и карбонатов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в </w:t>
      </w:r>
      <w:r w:rsidR="00C95586">
        <w:rPr>
          <w:rFonts w:ascii="Times New Roman" w:hAnsi="Times New Roman"/>
          <w:bCs/>
          <w:sz w:val="24"/>
          <w:szCs w:val="24"/>
        </w:rPr>
        <w:t>30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образц</w:t>
      </w:r>
      <w:r w:rsidR="008832A2">
        <w:rPr>
          <w:rFonts w:ascii="Times New Roman" w:hAnsi="Times New Roman"/>
          <w:bCs/>
          <w:sz w:val="24"/>
          <w:szCs w:val="24"/>
        </w:rPr>
        <w:t>ах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</w:t>
      </w:r>
      <w:r w:rsidR="00C95586">
        <w:rPr>
          <w:rFonts w:ascii="Times New Roman" w:hAnsi="Times New Roman"/>
          <w:bCs/>
          <w:sz w:val="24"/>
          <w:szCs w:val="24"/>
        </w:rPr>
        <w:t>природных вод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потенциометрическим методом с использованием автотитратора Mettler Toledo T70 по программе </w:t>
      </w:r>
      <w:r w:rsidR="00C95586">
        <w:rPr>
          <w:rFonts w:ascii="Times New Roman" w:hAnsi="Times New Roman"/>
          <w:bCs/>
          <w:sz w:val="24"/>
          <w:szCs w:val="24"/>
        </w:rPr>
        <w:t>мерзлотных и гидрологических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исследований сезонной экспедиции. Общее количество измерений </w:t>
      </w:r>
      <w:r w:rsidR="00C95586">
        <w:rPr>
          <w:rFonts w:ascii="Times New Roman" w:hAnsi="Times New Roman"/>
          <w:bCs/>
          <w:sz w:val="24"/>
          <w:szCs w:val="24"/>
        </w:rPr>
        <w:t>60</w:t>
      </w:r>
      <w:r w:rsidR="00FE5D66" w:rsidRPr="00FE5D66">
        <w:rPr>
          <w:rFonts w:ascii="Times New Roman" w:hAnsi="Times New Roman"/>
          <w:bCs/>
          <w:sz w:val="24"/>
          <w:szCs w:val="24"/>
        </w:rPr>
        <w:t>.</w:t>
      </w:r>
    </w:p>
    <w:p w14:paraId="4B56C64A" w14:textId="368E8988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95586">
        <w:rPr>
          <w:rFonts w:ascii="Times New Roman" w:hAnsi="Times New Roman"/>
          <w:sz w:val="24"/>
          <w:szCs w:val="24"/>
        </w:rPr>
        <w:t>2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C95586">
        <w:rPr>
          <w:rFonts w:ascii="Times New Roman" w:hAnsi="Times New Roman"/>
          <w:bCs/>
          <w:sz w:val="24"/>
          <w:szCs w:val="24"/>
        </w:rPr>
        <w:t xml:space="preserve"> и </w:t>
      </w:r>
      <w:r w:rsidR="00C95586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LC-20ADsp Shimadzu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150D8AAB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C95586">
        <w:rPr>
          <w:rFonts w:ascii="Times New Roman" w:hAnsi="Times New Roman"/>
          <w:bCs/>
          <w:sz w:val="24"/>
          <w:szCs w:val="24"/>
        </w:rPr>
        <w:t>3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19EA4DB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C95586">
        <w:rPr>
          <w:rFonts w:ascii="Times New Roman" w:hAnsi="Times New Roman"/>
          <w:sz w:val="24"/>
          <w:szCs w:val="24"/>
        </w:rPr>
        <w:t>2741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C95586">
        <w:rPr>
          <w:rFonts w:ascii="Times New Roman" w:hAnsi="Times New Roman"/>
          <w:bCs/>
          <w:sz w:val="24"/>
          <w:szCs w:val="24"/>
        </w:rPr>
        <w:t>1069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00CCBA40" w:rsidR="00C56E15" w:rsidRPr="004E0AF2" w:rsidRDefault="00C95586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2304D2BA" w:rsidR="00931FF9" w:rsidRP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="006660A9">
        <w:rPr>
          <w:rFonts w:ascii="Times New Roman" w:hAnsi="Times New Roman"/>
          <w:b/>
          <w:bCs/>
          <w:sz w:val="24"/>
          <w:szCs w:val="24"/>
        </w:rPr>
        <w:t>Палеогеографические исследования</w:t>
      </w:r>
    </w:p>
    <w:p w14:paraId="44D0B0C2" w14:textId="053B3A9D" w:rsidR="007E6BA0" w:rsidRPr="00CF1CEB" w:rsidRDefault="00C95586" w:rsidP="008832A2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Pr="00C95586">
        <w:rPr>
          <w:rFonts w:ascii="Times New Roman" w:hAnsi="Times New Roman"/>
          <w:sz w:val="24"/>
          <w:szCs w:val="24"/>
        </w:rPr>
        <w:t xml:space="preserve"> диатомовый анализ и анализ потер</w:t>
      </w:r>
      <w:r>
        <w:rPr>
          <w:rFonts w:ascii="Times New Roman" w:hAnsi="Times New Roman"/>
          <w:sz w:val="24"/>
          <w:szCs w:val="24"/>
        </w:rPr>
        <w:t>и</w:t>
      </w:r>
      <w:r w:rsidRPr="00C95586">
        <w:rPr>
          <w:rFonts w:ascii="Times New Roman" w:hAnsi="Times New Roman"/>
          <w:sz w:val="24"/>
          <w:szCs w:val="24"/>
        </w:rPr>
        <w:t xml:space="preserve"> масс</w:t>
      </w:r>
      <w:r>
        <w:rPr>
          <w:rFonts w:ascii="Times New Roman" w:hAnsi="Times New Roman"/>
          <w:sz w:val="24"/>
          <w:szCs w:val="24"/>
        </w:rPr>
        <w:t>ы</w:t>
      </w:r>
      <w:r w:rsidRPr="00C95586">
        <w:rPr>
          <w:rFonts w:ascii="Times New Roman" w:hAnsi="Times New Roman"/>
          <w:sz w:val="24"/>
          <w:szCs w:val="24"/>
        </w:rPr>
        <w:t xml:space="preserve"> при прокаливании для образцов четвертичных отложений с разрезов ВМ19-25, ВМ19-26 и ВМ19-59, отобранных в ходе полевых палеогеографических работ 2019 г. на Земле Норденшельда. Для 25 образцов созданы постоянные препараты с использованием среды Нафракс, на микроскопе Zeiss Axio Imager.A2</w:t>
      </w:r>
      <w:r w:rsidRPr="00C95586">
        <w:rPr>
          <w:rFonts w:ascii="Times New Roman" w:hAnsi="Times New Roman"/>
          <w:sz w:val="24"/>
          <w:szCs w:val="24"/>
        </w:rPr>
        <w:t xml:space="preserve"> </w:t>
      </w:r>
      <w:r w:rsidRPr="00C95586">
        <w:rPr>
          <w:rFonts w:ascii="Times New Roman" w:hAnsi="Times New Roman"/>
          <w:sz w:val="24"/>
          <w:szCs w:val="24"/>
        </w:rPr>
        <w:t>оценено содержание диатомовых водорослей, сделаны фотографии створок диатомей для их видового определения. Лабораторная часть анализа потерь масс при прокаливании завершена для всех 44 образцов</w:t>
      </w:r>
      <w:r w:rsidR="008832A2">
        <w:rPr>
          <w:rFonts w:ascii="Times New Roman" w:hAnsi="Times New Roman"/>
          <w:sz w:val="24"/>
          <w:szCs w:val="24"/>
        </w:rPr>
        <w:t>.</w:t>
      </w:r>
    </w:p>
    <w:p w14:paraId="4DF3D727" w14:textId="77777777" w:rsidR="005842FD" w:rsidRPr="00A10E81" w:rsidRDefault="005842FD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4696C4F9" w14:textId="77777777" w:rsidR="008832A2" w:rsidRDefault="008832A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Вё</w:t>
      </w:r>
      <w:r w:rsidR="00F11467">
        <w:rPr>
          <w:rFonts w:ascii="Times New Roman" w:hAnsi="Times New Roman"/>
          <w:sz w:val="24"/>
          <w:szCs w:val="24"/>
        </w:rPr>
        <w:t>лся монтаж настенных радиаторов отопления</w:t>
      </w:r>
      <w:r w:rsidRPr="00883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жилом корпусе №2 (бывше</w:t>
      </w:r>
      <w:r w:rsidRPr="00C5779C">
        <w:rPr>
          <w:rFonts w:ascii="Times New Roman" w:hAnsi="Times New Roman"/>
          <w:sz w:val="24"/>
          <w:szCs w:val="24"/>
        </w:rPr>
        <w:t>е здани</w:t>
      </w:r>
      <w:r>
        <w:rPr>
          <w:rFonts w:ascii="Times New Roman" w:hAnsi="Times New Roman"/>
          <w:sz w:val="24"/>
          <w:szCs w:val="24"/>
        </w:rPr>
        <w:t>е</w:t>
      </w:r>
      <w:r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>.</w:t>
      </w:r>
      <w:r w:rsidRPr="008832A2">
        <w:t xml:space="preserve"> </w:t>
      </w:r>
      <w:r w:rsidRPr="008832A2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Pr="008832A2">
        <w:rPr>
          <w:rFonts w:ascii="Times New Roman" w:hAnsi="Times New Roman"/>
          <w:sz w:val="24"/>
          <w:szCs w:val="24"/>
        </w:rPr>
        <w:t xml:space="preserve"> работы по изготовлению жестяных карнизов для установки на кровле жилого корпуса №1.</w:t>
      </w:r>
    </w:p>
    <w:p w14:paraId="088E7E1F" w14:textId="76A938E5" w:rsidR="00915B36" w:rsidRDefault="00C95586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Осуществлялось плановое обслуживание транспортной техники</w:t>
      </w:r>
      <w:r w:rsidR="008832A2" w:rsidRPr="008832A2">
        <w:rPr>
          <w:rFonts w:ascii="Times New Roman" w:hAnsi="Times New Roman"/>
          <w:sz w:val="24"/>
          <w:szCs w:val="24"/>
        </w:rPr>
        <w:t>.</w:t>
      </w:r>
    </w:p>
    <w:p w14:paraId="348CBAC2" w14:textId="5316FE15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</w:t>
      </w:r>
      <w:r w:rsidR="00F11467">
        <w:rPr>
          <w:rFonts w:ascii="Times New Roman" w:hAnsi="Times New Roman"/>
          <w:sz w:val="24"/>
          <w:szCs w:val="24"/>
        </w:rPr>
        <w:t xml:space="preserve">а логистическая </w:t>
      </w:r>
      <w:r w:rsidR="0089502B">
        <w:rPr>
          <w:rFonts w:ascii="Times New Roman" w:hAnsi="Times New Roman"/>
          <w:sz w:val="24"/>
          <w:szCs w:val="24"/>
        </w:rPr>
        <w:t>поддержка</w:t>
      </w:r>
      <w:r w:rsidR="00F1146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 xml:space="preserve">сотрудникам </w:t>
      </w:r>
      <w:r w:rsidR="00C95586" w:rsidRPr="00C95586">
        <w:rPr>
          <w:rFonts w:ascii="Times New Roman" w:hAnsi="Times New Roman"/>
          <w:sz w:val="24"/>
          <w:szCs w:val="24"/>
        </w:rPr>
        <w:t xml:space="preserve">ГМО «Баренцбург» </w:t>
      </w:r>
      <w:r w:rsidR="00C95586">
        <w:rPr>
          <w:rFonts w:ascii="Times New Roman" w:hAnsi="Times New Roman"/>
          <w:sz w:val="24"/>
          <w:szCs w:val="24"/>
        </w:rPr>
        <w:t xml:space="preserve">Мурманского УГМС </w:t>
      </w:r>
      <w:r w:rsidR="00C95586" w:rsidRPr="00C95586">
        <w:rPr>
          <w:rFonts w:ascii="Times New Roman" w:hAnsi="Times New Roman"/>
          <w:sz w:val="24"/>
          <w:szCs w:val="24"/>
        </w:rPr>
        <w:t xml:space="preserve">и Кольского научного центра </w:t>
      </w:r>
      <w:r w:rsidR="00C95586">
        <w:rPr>
          <w:rFonts w:ascii="Times New Roman" w:hAnsi="Times New Roman"/>
          <w:sz w:val="24"/>
          <w:szCs w:val="24"/>
        </w:rPr>
        <w:t>РАН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84A4" w14:textId="77777777" w:rsidR="00AA0B6C" w:rsidRDefault="00AA0B6C">
      <w:pPr>
        <w:spacing w:line="240" w:lineRule="auto"/>
      </w:pPr>
      <w:r>
        <w:separator/>
      </w:r>
    </w:p>
  </w:endnote>
  <w:endnote w:type="continuationSeparator" w:id="0">
    <w:p w14:paraId="040F6D88" w14:textId="77777777" w:rsidR="00AA0B6C" w:rsidRDefault="00AA0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2D01" w14:textId="77777777" w:rsidR="00AA0B6C" w:rsidRDefault="00AA0B6C">
      <w:r>
        <w:separator/>
      </w:r>
    </w:p>
  </w:footnote>
  <w:footnote w:type="continuationSeparator" w:id="0">
    <w:p w14:paraId="252C81B7" w14:textId="77777777" w:rsidR="00AA0B6C" w:rsidRDefault="00AA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2025-06-04T11:30:00Z</dcterms:created>
  <dcterms:modified xsi:type="dcterms:W3CDTF">2025-06-04T11:38:00Z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